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8F" w:rsidRPr="00EF123F" w:rsidRDefault="00384707" w:rsidP="00384707">
      <w:pPr>
        <w:spacing w:after="0"/>
        <w:rPr>
          <w:rFonts w:ascii="Arial" w:hAnsi="Arial" w:cs="Arial"/>
        </w:rPr>
      </w:pPr>
      <w:r w:rsidRPr="00EF123F">
        <w:rPr>
          <w:rFonts w:ascii="Arial" w:hAnsi="Arial" w:cs="Arial"/>
        </w:rPr>
        <w:t>INDIVIDUAL ACTIVITY ONE</w:t>
      </w:r>
    </w:p>
    <w:p w:rsidR="00384707" w:rsidRPr="00EF123F" w:rsidRDefault="00384707" w:rsidP="00384707">
      <w:pPr>
        <w:spacing w:after="0"/>
        <w:rPr>
          <w:rFonts w:ascii="Arial" w:hAnsi="Arial" w:cs="Arial"/>
          <w:sz w:val="36"/>
        </w:rPr>
      </w:pPr>
      <w:r w:rsidRPr="00EF123F">
        <w:rPr>
          <w:rFonts w:ascii="Arial" w:hAnsi="Arial" w:cs="Arial"/>
          <w:sz w:val="36"/>
        </w:rPr>
        <w:t>STITCHING STORIES</w:t>
      </w:r>
    </w:p>
    <w:p w:rsidR="00384707" w:rsidRPr="00EF123F" w:rsidRDefault="00384707" w:rsidP="00384707">
      <w:pPr>
        <w:spacing w:after="0"/>
        <w:rPr>
          <w:rFonts w:ascii="Arial" w:hAnsi="Arial" w:cs="Arial"/>
          <w:sz w:val="24"/>
        </w:rPr>
      </w:pPr>
    </w:p>
    <w:p w:rsidR="00384707" w:rsidRDefault="00384707" w:rsidP="000F243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</w:rPr>
      </w:pPr>
      <w:r w:rsidRPr="00035C9F">
        <w:rPr>
          <w:rFonts w:ascii="Arial" w:hAnsi="Arial" w:cs="Arial"/>
          <w:b/>
          <w:sz w:val="24"/>
        </w:rPr>
        <w:t>DIRECTIONS:</w:t>
      </w:r>
      <w:r w:rsidR="0006112B">
        <w:rPr>
          <w:rFonts w:ascii="Arial" w:hAnsi="Arial" w:cs="Arial"/>
          <w:sz w:val="24"/>
        </w:rPr>
        <w:t xml:space="preserve"> Below are</w:t>
      </w:r>
      <w:r w:rsidRPr="00EF123F">
        <w:rPr>
          <w:rFonts w:ascii="Arial" w:hAnsi="Arial" w:cs="Arial"/>
          <w:sz w:val="24"/>
        </w:rPr>
        <w:t xml:space="preserve"> literature taken from various sources that are all related to the research, “The Effect of Classical Music on Grade 11 Students’ Math Text Anxiety.” Compose a</w:t>
      </w:r>
      <w:r w:rsidR="0006112B">
        <w:rPr>
          <w:rFonts w:ascii="Arial" w:hAnsi="Arial" w:cs="Arial"/>
          <w:sz w:val="24"/>
        </w:rPr>
        <w:t xml:space="preserve"> short but</w:t>
      </w:r>
      <w:r w:rsidRPr="00EF123F">
        <w:rPr>
          <w:rFonts w:ascii="Arial" w:hAnsi="Arial" w:cs="Arial"/>
          <w:sz w:val="24"/>
        </w:rPr>
        <w:t xml:space="preserve"> cohesive Review of Related Literature </w:t>
      </w:r>
      <w:r w:rsidR="0006112B">
        <w:rPr>
          <w:rFonts w:ascii="Arial" w:hAnsi="Arial" w:cs="Arial"/>
          <w:sz w:val="24"/>
        </w:rPr>
        <w:t>using all</w:t>
      </w:r>
      <w:r w:rsidRPr="00EF123F">
        <w:rPr>
          <w:rFonts w:ascii="Arial" w:hAnsi="Arial" w:cs="Arial"/>
          <w:sz w:val="24"/>
        </w:rPr>
        <w:t xml:space="preserve"> five of these, follow correct in-text citation, and state the references in APA style, 6</w:t>
      </w:r>
      <w:r w:rsidRPr="00EF123F">
        <w:rPr>
          <w:rFonts w:ascii="Arial" w:hAnsi="Arial" w:cs="Arial"/>
          <w:sz w:val="24"/>
          <w:vertAlign w:val="superscript"/>
        </w:rPr>
        <w:t>th</w:t>
      </w:r>
      <w:r w:rsidRPr="00EF123F">
        <w:rPr>
          <w:rFonts w:ascii="Arial" w:hAnsi="Arial" w:cs="Arial"/>
          <w:sz w:val="24"/>
        </w:rPr>
        <w:t xml:space="preserve"> Edition using MS Word referencing feature. Output</w:t>
      </w:r>
      <w:r w:rsidR="000F2433" w:rsidRPr="00EF123F">
        <w:rPr>
          <w:rFonts w:ascii="Arial" w:hAnsi="Arial" w:cs="Arial"/>
          <w:sz w:val="24"/>
        </w:rPr>
        <w:t xml:space="preserve"> must be submitted </w:t>
      </w:r>
      <w:r w:rsidRPr="00EF123F">
        <w:rPr>
          <w:rFonts w:ascii="Arial" w:hAnsi="Arial" w:cs="Arial"/>
          <w:sz w:val="24"/>
        </w:rPr>
        <w:t xml:space="preserve">on October </w:t>
      </w:r>
      <w:r w:rsidR="0006112B">
        <w:rPr>
          <w:rFonts w:ascii="Arial" w:hAnsi="Arial" w:cs="Arial"/>
          <w:sz w:val="24"/>
        </w:rPr>
        <w:t>11</w:t>
      </w:r>
      <w:r w:rsidR="000F2433" w:rsidRPr="00EF123F">
        <w:rPr>
          <w:rFonts w:ascii="Arial" w:hAnsi="Arial" w:cs="Arial"/>
          <w:sz w:val="24"/>
        </w:rPr>
        <w:t>, printed on a A4-sized paper.</w:t>
      </w:r>
    </w:p>
    <w:p w:rsidR="00035C9F" w:rsidRDefault="00035C9F" w:rsidP="000F243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</w:rPr>
      </w:pPr>
    </w:p>
    <w:p w:rsidR="00035C9F" w:rsidRDefault="00035C9F" w:rsidP="000F243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</w:rPr>
      </w:pPr>
      <w:r w:rsidRPr="00035C9F"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Copy/paste the scoring table at the end of your output, right after the references.</w:t>
      </w:r>
      <w:r w:rsidR="00591810">
        <w:rPr>
          <w:rFonts w:ascii="Arial" w:hAnsi="Arial" w:cs="Arial"/>
          <w:sz w:val="24"/>
        </w:rPr>
        <w:t xml:space="preserve"> Also, some of the references are fictitious and will be used only </w:t>
      </w:r>
      <w:proofErr w:type="gramStart"/>
      <w:r w:rsidR="00591810">
        <w:rPr>
          <w:rFonts w:ascii="Arial" w:hAnsi="Arial" w:cs="Arial"/>
          <w:sz w:val="24"/>
        </w:rPr>
        <w:t>for the purpose of</w:t>
      </w:r>
      <w:proofErr w:type="gramEnd"/>
      <w:r w:rsidR="00591810">
        <w:rPr>
          <w:rFonts w:ascii="Arial" w:hAnsi="Arial" w:cs="Arial"/>
          <w:sz w:val="24"/>
        </w:rPr>
        <w:t xml:space="preserve"> this activity.</w:t>
      </w:r>
    </w:p>
    <w:p w:rsidR="00591810" w:rsidRPr="00EF123F" w:rsidRDefault="00591810" w:rsidP="000F2433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</w:rPr>
      </w:pPr>
    </w:p>
    <w:p w:rsidR="00EF123F" w:rsidRPr="00EF123F" w:rsidRDefault="00EF123F" w:rsidP="00EF123F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133"/>
      </w:tblGrid>
      <w:tr w:rsidR="00EF123F" w:rsidRPr="00EF123F" w:rsidTr="00035C9F"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123F" w:rsidRPr="00EF123F" w:rsidRDefault="00EF123F" w:rsidP="00EF123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123F">
              <w:rPr>
                <w:rFonts w:ascii="Arial" w:hAnsi="Arial" w:cs="Arial"/>
                <w:b/>
                <w:sz w:val="24"/>
              </w:rPr>
              <w:t>STANDARDS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123F" w:rsidRPr="00EF123F" w:rsidRDefault="00EF123F" w:rsidP="00EF12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123F">
              <w:rPr>
                <w:rFonts w:ascii="Arial" w:hAnsi="Arial" w:cs="Arial"/>
                <w:b/>
                <w:sz w:val="20"/>
              </w:rPr>
              <w:t>MAXIMUM POINTS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EF123F" w:rsidRPr="00EF123F" w:rsidRDefault="00EF123F" w:rsidP="00EF12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123F">
              <w:rPr>
                <w:rFonts w:ascii="Arial" w:hAnsi="Arial" w:cs="Arial"/>
                <w:b/>
                <w:sz w:val="20"/>
              </w:rPr>
              <w:t>POINTS EARNED</w:t>
            </w:r>
          </w:p>
        </w:tc>
      </w:tr>
      <w:tr w:rsidR="00EF123F" w:rsidRPr="00EF123F" w:rsidTr="00035C9F"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</w:tcPr>
          <w:p w:rsidR="00EF123F" w:rsidRPr="00EF123F" w:rsidRDefault="00591810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="00EF123F" w:rsidRPr="00EF123F">
              <w:rPr>
                <w:rFonts w:ascii="Arial" w:hAnsi="Arial" w:cs="Arial"/>
                <w:sz w:val="20"/>
              </w:rPr>
              <w:t>five of the available literature was used.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Each literature has been correctly paraphrased.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The literatures have been organized to form a cohesive whole.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The RRL follows cor</w:t>
            </w:r>
            <w:r w:rsidRPr="00EF123F">
              <w:rPr>
                <w:rFonts w:ascii="Arial" w:hAnsi="Arial" w:cs="Arial"/>
                <w:sz w:val="20"/>
              </w:rPr>
              <w:t>rect in-text citation.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Refere</w:t>
            </w:r>
            <w:r w:rsidRPr="00EF123F">
              <w:rPr>
                <w:rFonts w:ascii="Arial" w:hAnsi="Arial" w:cs="Arial"/>
                <w:sz w:val="20"/>
              </w:rPr>
              <w:t>nces follow correct APA style.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The paper follows prescribed format: Arial-12, double spaced, normal margins, justified orientation.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The RRL does not have more than three grammatical/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123F">
              <w:rPr>
                <w:rFonts w:ascii="Arial" w:hAnsi="Arial" w:cs="Arial"/>
                <w:sz w:val="20"/>
              </w:rPr>
              <w:t>typographical errors and other errors</w:t>
            </w:r>
            <w:r w:rsidRPr="00EF123F">
              <w:rPr>
                <w:rFonts w:ascii="Arial" w:hAnsi="Arial" w:cs="Arial"/>
                <w:sz w:val="20"/>
              </w:rPr>
              <w:t xml:space="preserve"> in technical writing</w:t>
            </w:r>
            <w:r w:rsidRPr="00EF12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 xml:space="preserve">The paper is at least 50 percent </w:t>
            </w:r>
            <w:proofErr w:type="gramStart"/>
            <w:r w:rsidRPr="00EF123F">
              <w:rPr>
                <w:rFonts w:ascii="Arial" w:hAnsi="Arial" w:cs="Arial"/>
                <w:sz w:val="20"/>
              </w:rPr>
              <w:t>similar to</w:t>
            </w:r>
            <w:proofErr w:type="gramEnd"/>
            <w:r w:rsidRPr="00EF123F">
              <w:rPr>
                <w:rFonts w:ascii="Arial" w:hAnsi="Arial" w:cs="Arial"/>
                <w:sz w:val="20"/>
              </w:rPr>
              <w:t xml:space="preserve"> the output of another student</w:t>
            </w:r>
            <w:r w:rsidRPr="00EF12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right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  <w:color w:val="FF0000"/>
              </w:rPr>
              <w:t>-10</w:t>
            </w:r>
          </w:p>
        </w:tc>
        <w:tc>
          <w:tcPr>
            <w:tcW w:w="1133" w:type="dxa"/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EF123F" w:rsidRPr="00EF123F" w:rsidRDefault="00EF123F" w:rsidP="00EF12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F123F">
              <w:rPr>
                <w:rFonts w:ascii="Arial" w:hAnsi="Arial" w:cs="Arial"/>
                <w:sz w:val="20"/>
              </w:rPr>
              <w:t>The output was submit</w:t>
            </w:r>
            <w:r w:rsidRPr="00EF123F">
              <w:rPr>
                <w:rFonts w:ascii="Arial" w:hAnsi="Arial" w:cs="Arial"/>
                <w:sz w:val="20"/>
              </w:rPr>
              <w:t>ted on or before the deadline</w:t>
            </w:r>
            <w:r w:rsidRPr="00EF12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F123F" w:rsidRPr="00035C9F" w:rsidRDefault="00EF123F" w:rsidP="00EF123F">
            <w:pPr>
              <w:jc w:val="center"/>
              <w:rPr>
                <w:rFonts w:ascii="Arial" w:hAnsi="Arial" w:cs="Arial"/>
                <w:b/>
              </w:rPr>
            </w:pPr>
            <w:r w:rsidRPr="00035C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  <w:tr w:rsidR="00EF123F" w:rsidRPr="00EF123F" w:rsidTr="00035C9F"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Highest 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ossible Score / Total Points Earned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EF123F" w:rsidRPr="00035C9F" w:rsidRDefault="00035C9F" w:rsidP="00035C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EF123F" w:rsidRPr="00EF123F" w:rsidRDefault="00EF123F" w:rsidP="00EF123F">
            <w:pPr>
              <w:rPr>
                <w:rFonts w:ascii="Arial" w:hAnsi="Arial" w:cs="Arial"/>
                <w:sz w:val="24"/>
              </w:rPr>
            </w:pPr>
          </w:p>
        </w:tc>
      </w:tr>
    </w:tbl>
    <w:p w:rsidR="00591810" w:rsidRDefault="00591810" w:rsidP="00EF123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p w:rsidR="00035C9F" w:rsidRDefault="00035C9F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591810" w:rsidRPr="00591810" w:rsidRDefault="00591810" w:rsidP="00EF123F">
      <w:pPr>
        <w:spacing w:after="0"/>
        <w:rPr>
          <w:rFonts w:ascii="Arial" w:hAnsi="Arial" w:cs="Arial"/>
          <w:b/>
          <w:sz w:val="24"/>
        </w:rPr>
      </w:pPr>
      <w:r w:rsidRPr="00591810">
        <w:rPr>
          <w:rFonts w:ascii="Arial" w:hAnsi="Arial" w:cs="Arial"/>
          <w:b/>
          <w:sz w:val="24"/>
        </w:rPr>
        <w:lastRenderedPageBreak/>
        <w:t>THE LITERATURE:</w:t>
      </w:r>
    </w:p>
    <w:p w:rsidR="00591810" w:rsidRDefault="00591810" w:rsidP="00EF123F">
      <w:pPr>
        <w:spacing w:after="0"/>
        <w:rPr>
          <w:rFonts w:ascii="Arial" w:hAnsi="Arial" w:cs="Arial"/>
          <w:sz w:val="24"/>
        </w:rPr>
      </w:pPr>
    </w:p>
    <w:p w:rsidR="00035C9F" w:rsidRDefault="00035C9F" w:rsidP="00035C9F">
      <w:pPr>
        <w:spacing w:after="0"/>
        <w:rPr>
          <w:rFonts w:ascii="Arial" w:hAnsi="Arial" w:cs="Arial"/>
          <w:color w:val="000000" w:themeColor="text1"/>
        </w:rPr>
      </w:pPr>
      <w:r w:rsidRPr="00035C9F">
        <w:rPr>
          <w:rFonts w:ascii="Arial" w:hAnsi="Arial" w:cs="Arial"/>
          <w:color w:val="000000" w:themeColor="text1"/>
        </w:rPr>
        <w:t xml:space="preserve">There is a significant relationship between students’ anxiety and their academic performance along key subject areas i.e. English, Science, and Mathematics. </w:t>
      </w:r>
    </w:p>
    <w:p w:rsidR="00591810" w:rsidRPr="00035C9F" w:rsidRDefault="00591810" w:rsidP="00035C9F">
      <w:pPr>
        <w:spacing w:after="0"/>
        <w:rPr>
          <w:rFonts w:ascii="Arial" w:hAnsi="Arial" w:cs="Arial"/>
          <w:color w:val="000000" w:themeColor="text1"/>
        </w:rPr>
      </w:pPr>
    </w:p>
    <w:p w:rsidR="00035C9F" w:rsidRDefault="00035C9F" w:rsidP="00035C9F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  <w:r w:rsidRPr="00035C9F">
        <w:rPr>
          <w:rFonts w:ascii="Arial" w:hAnsi="Arial" w:cs="Arial"/>
          <w:i/>
          <w:sz w:val="20"/>
        </w:rPr>
        <w:t>This is from a journal a</w:t>
      </w:r>
      <w:r w:rsidRPr="00035C9F">
        <w:rPr>
          <w:rFonts w:ascii="Arial" w:hAnsi="Arial" w:cs="Arial"/>
          <w:i/>
          <w:sz w:val="20"/>
        </w:rPr>
        <w:t>rticle</w:t>
      </w:r>
      <w:r w:rsidRPr="00035C9F">
        <w:rPr>
          <w:rFonts w:ascii="Arial" w:hAnsi="Arial" w:cs="Arial"/>
          <w:i/>
          <w:sz w:val="20"/>
        </w:rPr>
        <w:t xml:space="preserve"> entitled, “</w:t>
      </w:r>
      <w:r w:rsidRPr="00035C9F">
        <w:rPr>
          <w:rFonts w:ascii="Arial" w:hAnsi="Arial" w:cs="Arial"/>
          <w:i/>
          <w:sz w:val="20"/>
        </w:rPr>
        <w:t>Anxiety: How It Affects Academic Performance</w:t>
      </w:r>
      <w:r w:rsidRPr="00035C9F">
        <w:rPr>
          <w:rFonts w:ascii="Arial" w:hAnsi="Arial" w:cs="Arial"/>
          <w:i/>
          <w:sz w:val="20"/>
        </w:rPr>
        <w:t xml:space="preserve">” by </w:t>
      </w:r>
      <w:r w:rsidRPr="00035C9F">
        <w:rPr>
          <w:rFonts w:ascii="Arial" w:hAnsi="Arial" w:cs="Arial"/>
          <w:i/>
          <w:sz w:val="20"/>
        </w:rPr>
        <w:t>Marissa M.</w:t>
      </w:r>
      <w:r w:rsidRPr="00035C9F">
        <w:rPr>
          <w:rFonts w:ascii="Arial" w:hAnsi="Arial" w:cs="Arial"/>
          <w:i/>
          <w:sz w:val="20"/>
        </w:rPr>
        <w:t xml:space="preserve"> </w:t>
      </w:r>
      <w:proofErr w:type="spellStart"/>
      <w:r w:rsidRPr="00035C9F">
        <w:rPr>
          <w:rFonts w:ascii="Arial" w:hAnsi="Arial" w:cs="Arial"/>
          <w:i/>
          <w:sz w:val="20"/>
        </w:rPr>
        <w:t>Apurillo</w:t>
      </w:r>
      <w:proofErr w:type="spellEnd"/>
      <w:r w:rsidRPr="00035C9F">
        <w:rPr>
          <w:rFonts w:ascii="Arial" w:hAnsi="Arial" w:cs="Arial"/>
          <w:i/>
          <w:sz w:val="20"/>
        </w:rPr>
        <w:t xml:space="preserve"> published in 2015 in pages 50-55 of the </w:t>
      </w:r>
      <w:r w:rsidRPr="00035C9F">
        <w:rPr>
          <w:rFonts w:ascii="Arial" w:hAnsi="Arial" w:cs="Arial"/>
          <w:i/>
          <w:sz w:val="20"/>
        </w:rPr>
        <w:t>International Journal of Modern Education</w:t>
      </w:r>
      <w:r w:rsidRPr="00035C9F">
        <w:rPr>
          <w:rFonts w:ascii="Arial" w:hAnsi="Arial" w:cs="Arial"/>
          <w:i/>
          <w:sz w:val="20"/>
        </w:rPr>
        <w:t>, Volume 10, Issue 5, Quezon City, Philippines</w:t>
      </w:r>
    </w:p>
    <w:p w:rsidR="00A66855" w:rsidRDefault="00A66855" w:rsidP="00035C9F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</w:p>
    <w:p w:rsidR="00035C9F" w:rsidRPr="00035C9F" w:rsidRDefault="00035C9F" w:rsidP="00035C9F">
      <w:pPr>
        <w:spacing w:after="0"/>
        <w:jc w:val="right"/>
        <w:rPr>
          <w:rFonts w:ascii="Arial" w:hAnsi="Arial" w:cs="Arial"/>
        </w:rPr>
      </w:pPr>
    </w:p>
    <w:p w:rsidR="00035C9F" w:rsidRPr="00035C9F" w:rsidRDefault="00035C9F" w:rsidP="00A6685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table that follows shows the National Achievement Test results in the last three years.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16"/>
        <w:gridCol w:w="2207"/>
      </w:tblGrid>
      <w:tr w:rsidR="00035C9F" w:rsidRPr="00035C9F" w:rsidTr="004B7AFD">
        <w:trPr>
          <w:jc w:val="center"/>
        </w:trPr>
        <w:tc>
          <w:tcPr>
            <w:tcW w:w="2103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Year</w:t>
            </w:r>
          </w:p>
        </w:tc>
        <w:tc>
          <w:tcPr>
            <w:tcW w:w="2216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Elementary</w:t>
            </w:r>
          </w:p>
        </w:tc>
        <w:tc>
          <w:tcPr>
            <w:tcW w:w="2207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Secondary</w:t>
            </w:r>
          </w:p>
        </w:tc>
      </w:tr>
      <w:tr w:rsidR="00035C9F" w:rsidRPr="00035C9F" w:rsidTr="004B7AFD">
        <w:trPr>
          <w:jc w:val="center"/>
        </w:trPr>
        <w:tc>
          <w:tcPr>
            <w:tcW w:w="2103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2016</w:t>
            </w:r>
          </w:p>
        </w:tc>
        <w:tc>
          <w:tcPr>
            <w:tcW w:w="2216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73.24</w:t>
            </w:r>
          </w:p>
        </w:tc>
        <w:tc>
          <w:tcPr>
            <w:tcW w:w="2207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71.12</w:t>
            </w:r>
          </w:p>
        </w:tc>
      </w:tr>
      <w:tr w:rsidR="00035C9F" w:rsidRPr="00035C9F" w:rsidTr="004B7AFD">
        <w:trPr>
          <w:jc w:val="center"/>
        </w:trPr>
        <w:tc>
          <w:tcPr>
            <w:tcW w:w="2103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2015</w:t>
            </w:r>
          </w:p>
        </w:tc>
        <w:tc>
          <w:tcPr>
            <w:tcW w:w="2216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68.32</w:t>
            </w:r>
          </w:p>
        </w:tc>
        <w:tc>
          <w:tcPr>
            <w:tcW w:w="2207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69.70</w:t>
            </w:r>
          </w:p>
        </w:tc>
      </w:tr>
      <w:tr w:rsidR="00035C9F" w:rsidRPr="00035C9F" w:rsidTr="004B7AFD">
        <w:trPr>
          <w:jc w:val="center"/>
        </w:trPr>
        <w:tc>
          <w:tcPr>
            <w:tcW w:w="2103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2014</w:t>
            </w:r>
          </w:p>
        </w:tc>
        <w:tc>
          <w:tcPr>
            <w:tcW w:w="2216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71.74</w:t>
            </w:r>
          </w:p>
        </w:tc>
        <w:tc>
          <w:tcPr>
            <w:tcW w:w="2207" w:type="dxa"/>
          </w:tcPr>
          <w:p w:rsidR="00035C9F" w:rsidRPr="00035C9F" w:rsidRDefault="00035C9F" w:rsidP="004B7AFD">
            <w:pPr>
              <w:pStyle w:val="ListParagraph"/>
              <w:ind w:left="0"/>
              <w:rPr>
                <w:rFonts w:ascii="Arial" w:hAnsi="Arial" w:cs="Arial"/>
              </w:rPr>
            </w:pPr>
            <w:r w:rsidRPr="00035C9F">
              <w:rPr>
                <w:rFonts w:ascii="Arial" w:hAnsi="Arial" w:cs="Arial"/>
              </w:rPr>
              <w:t>70.18</w:t>
            </w:r>
          </w:p>
        </w:tc>
      </w:tr>
    </w:tbl>
    <w:p w:rsidR="00035C9F" w:rsidRPr="00035C9F" w:rsidRDefault="00035C9F" w:rsidP="00035C9F">
      <w:pPr>
        <w:pStyle w:val="ListParagraph"/>
        <w:rPr>
          <w:rFonts w:ascii="Arial" w:hAnsi="Arial" w:cs="Arial"/>
        </w:rPr>
      </w:pPr>
      <w:r w:rsidRPr="00035C9F">
        <w:rPr>
          <w:rFonts w:ascii="Arial" w:hAnsi="Arial" w:cs="Arial"/>
        </w:rPr>
        <w:tab/>
        <w:t>NAT Result for Mathematics, 2014-2016</w:t>
      </w:r>
    </w:p>
    <w:p w:rsidR="00035C9F" w:rsidRDefault="00035C9F" w:rsidP="00035C9F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  <w:r w:rsidRPr="00035C9F">
        <w:rPr>
          <w:rFonts w:ascii="Arial" w:hAnsi="Arial" w:cs="Arial"/>
          <w:i/>
          <w:sz w:val="20"/>
        </w:rPr>
        <w:t xml:space="preserve">This </w:t>
      </w:r>
      <w:r>
        <w:rPr>
          <w:rFonts w:ascii="Arial" w:hAnsi="Arial" w:cs="Arial"/>
          <w:i/>
          <w:sz w:val="20"/>
        </w:rPr>
        <w:t xml:space="preserve">was retrieved from the official website of </w:t>
      </w:r>
      <w:r w:rsidR="00A66855">
        <w:rPr>
          <w:rFonts w:ascii="Arial" w:hAnsi="Arial" w:cs="Arial"/>
          <w:i/>
          <w:sz w:val="20"/>
        </w:rPr>
        <w:t xml:space="preserve">the Department of Education with the url: </w:t>
      </w:r>
      <w:hyperlink r:id="rId6" w:history="1">
        <w:r w:rsidR="00A66855" w:rsidRPr="00A00B43">
          <w:rPr>
            <w:rStyle w:val="Hyperlink"/>
            <w:rFonts w:ascii="Arial" w:hAnsi="Arial" w:cs="Arial"/>
            <w:sz w:val="20"/>
          </w:rPr>
          <w:t>http://www.gov.ph/k-12/</w:t>
        </w:r>
      </w:hyperlink>
      <w:r w:rsidR="00A66855">
        <w:rPr>
          <w:rFonts w:ascii="Arial" w:hAnsi="Arial" w:cs="Arial"/>
          <w:sz w:val="20"/>
        </w:rPr>
        <w:t xml:space="preserve">. </w:t>
      </w:r>
      <w:r w:rsidR="00A66855">
        <w:rPr>
          <w:rFonts w:ascii="Arial" w:hAnsi="Arial" w:cs="Arial"/>
          <w:i/>
          <w:sz w:val="20"/>
        </w:rPr>
        <w:t>The website name is Republic of the Philippines’ Official Online Gazette. The information was released February 16, 2017 under the title: National Achievement Test Results: 2014-2016</w:t>
      </w:r>
    </w:p>
    <w:p w:rsidR="00A66855" w:rsidRPr="00A66855" w:rsidRDefault="00A66855" w:rsidP="00035C9F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</w:p>
    <w:p w:rsidR="00035C9F" w:rsidRPr="00035C9F" w:rsidRDefault="00035C9F" w:rsidP="00035C9F">
      <w:pPr>
        <w:ind w:left="360" w:hanging="360"/>
        <w:rPr>
          <w:rFonts w:ascii="Arial" w:hAnsi="Arial" w:cs="Arial"/>
        </w:rPr>
      </w:pPr>
    </w:p>
    <w:p w:rsidR="00035C9F" w:rsidRDefault="00035C9F" w:rsidP="00A66855">
      <w:pPr>
        <w:spacing w:after="0"/>
        <w:rPr>
          <w:rFonts w:ascii="Arial" w:hAnsi="Arial" w:cs="Arial"/>
          <w:color w:val="000000" w:themeColor="text1"/>
        </w:rPr>
      </w:pPr>
      <w:r w:rsidRPr="00035C9F">
        <w:rPr>
          <w:rFonts w:ascii="Arial" w:hAnsi="Arial" w:cs="Arial"/>
          <w:color w:val="000000" w:themeColor="text1"/>
        </w:rPr>
        <w:t>Kindergarten pupils exposed to suitable music in school coped with separation anxiety faster than their peers who were not.</w:t>
      </w:r>
    </w:p>
    <w:p w:rsidR="00591810" w:rsidRDefault="00591810" w:rsidP="00A66855">
      <w:pPr>
        <w:spacing w:after="0"/>
        <w:rPr>
          <w:rFonts w:ascii="Arial" w:hAnsi="Arial" w:cs="Arial"/>
          <w:color w:val="000000" w:themeColor="text1"/>
        </w:rPr>
      </w:pPr>
    </w:p>
    <w:p w:rsidR="00A66855" w:rsidRDefault="00A66855" w:rsidP="00A6685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  <w:r w:rsidRPr="00035C9F">
        <w:rPr>
          <w:rFonts w:ascii="Arial" w:hAnsi="Arial" w:cs="Arial"/>
          <w:i/>
          <w:sz w:val="20"/>
        </w:rPr>
        <w:t xml:space="preserve">This </w:t>
      </w:r>
      <w:r>
        <w:rPr>
          <w:rFonts w:ascii="Arial" w:hAnsi="Arial" w:cs="Arial"/>
          <w:i/>
          <w:sz w:val="20"/>
        </w:rPr>
        <w:t xml:space="preserve">is by John A. </w:t>
      </w:r>
      <w:proofErr w:type="spellStart"/>
      <w:r>
        <w:rPr>
          <w:rFonts w:ascii="Arial" w:hAnsi="Arial" w:cs="Arial"/>
          <w:i/>
          <w:sz w:val="20"/>
        </w:rPr>
        <w:t>Royo</w:t>
      </w:r>
      <w:proofErr w:type="spellEnd"/>
      <w:r>
        <w:rPr>
          <w:rFonts w:ascii="Arial" w:hAnsi="Arial" w:cs="Arial"/>
          <w:i/>
          <w:sz w:val="20"/>
        </w:rPr>
        <w:t xml:space="preserve"> published as an article of the online journal (URL:</w:t>
      </w:r>
      <w:r w:rsidRPr="00A66855">
        <w:rPr>
          <w:rFonts w:ascii="Arial" w:hAnsi="Arial" w:cs="Arial"/>
        </w:rPr>
        <w:t xml:space="preserve"> </w:t>
      </w:r>
      <w:r w:rsidRPr="00A66855">
        <w:rPr>
          <w:rFonts w:ascii="Arial" w:hAnsi="Arial" w:cs="Arial"/>
          <w:sz w:val="20"/>
        </w:rPr>
        <w:t>http://journalofeducation.org/resources/cmsx1212</w:t>
      </w:r>
      <w:r>
        <w:rPr>
          <w:rFonts w:ascii="Arial" w:hAnsi="Arial" w:cs="Arial"/>
        </w:rPr>
        <w:t>)</w:t>
      </w:r>
      <w:r>
        <w:rPr>
          <w:rFonts w:ascii="Arial" w:hAnsi="Arial" w:cs="Arial"/>
          <w:i/>
          <w:sz w:val="20"/>
        </w:rPr>
        <w:t>, International Journal of Modern Education, Volume 5, Issue 1 published in 2015. The title of the article is “Factors affecting attitude towards academic subjects: Inputs for intervention.</w:t>
      </w:r>
    </w:p>
    <w:p w:rsidR="00A66855" w:rsidRPr="00A66855" w:rsidRDefault="00A66855" w:rsidP="00A6685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</w:p>
    <w:p w:rsidR="00A66855" w:rsidRDefault="00A66855" w:rsidP="00A66855">
      <w:pPr>
        <w:spacing w:after="0"/>
        <w:rPr>
          <w:rFonts w:ascii="Arial" w:hAnsi="Arial" w:cs="Arial"/>
          <w:color w:val="000000" w:themeColor="text1"/>
        </w:rPr>
      </w:pPr>
    </w:p>
    <w:p w:rsidR="00A66855" w:rsidRDefault="00A66855" w:rsidP="00A66855">
      <w:pPr>
        <w:spacing w:after="0"/>
        <w:rPr>
          <w:rFonts w:ascii="Arial" w:hAnsi="Arial" w:cs="Arial"/>
          <w:color w:val="000000" w:themeColor="text1"/>
        </w:rPr>
      </w:pPr>
      <w:r w:rsidRPr="00A66855">
        <w:rPr>
          <w:rFonts w:ascii="Arial" w:hAnsi="Arial" w:cs="Arial"/>
          <w:color w:val="000000" w:themeColor="text1"/>
        </w:rPr>
        <w:t>The secretion of serotonin, a hormone that helps elevate mood and reduce depression, significantly increases as one spends more time listening to music he prefers.</w:t>
      </w:r>
    </w:p>
    <w:p w:rsidR="00591810" w:rsidRDefault="00591810" w:rsidP="00A66855">
      <w:pPr>
        <w:spacing w:after="0"/>
        <w:rPr>
          <w:rFonts w:ascii="Arial" w:hAnsi="Arial" w:cs="Arial"/>
          <w:color w:val="000000" w:themeColor="text1"/>
        </w:rPr>
      </w:pPr>
    </w:p>
    <w:p w:rsidR="00035C9F" w:rsidRDefault="00A66855" w:rsidP="00A6685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Written in 2011 by </w:t>
      </w:r>
      <w:proofErr w:type="spellStart"/>
      <w:r>
        <w:rPr>
          <w:rFonts w:ascii="Arial" w:hAnsi="Arial" w:cs="Arial"/>
          <w:i/>
          <w:sz w:val="20"/>
        </w:rPr>
        <w:t>Alimangohan</w:t>
      </w:r>
      <w:proofErr w:type="spellEnd"/>
      <w:r>
        <w:rPr>
          <w:rFonts w:ascii="Arial" w:hAnsi="Arial" w:cs="Arial"/>
          <w:i/>
          <w:sz w:val="20"/>
        </w:rPr>
        <w:t xml:space="preserve">, J.P. and </w:t>
      </w:r>
      <w:proofErr w:type="spellStart"/>
      <w:r>
        <w:rPr>
          <w:rFonts w:ascii="Arial" w:hAnsi="Arial" w:cs="Arial"/>
          <w:i/>
          <w:sz w:val="20"/>
        </w:rPr>
        <w:t>Matutes</w:t>
      </w:r>
      <w:proofErr w:type="spellEnd"/>
      <w:r>
        <w:rPr>
          <w:rFonts w:ascii="Arial" w:hAnsi="Arial" w:cs="Arial"/>
          <w:i/>
          <w:sz w:val="20"/>
        </w:rPr>
        <w:t xml:space="preserve">, N.M., this was taken from their study </w:t>
      </w:r>
      <w:r w:rsidR="0006112B">
        <w:rPr>
          <w:rFonts w:ascii="Arial" w:hAnsi="Arial" w:cs="Arial"/>
          <w:i/>
          <w:sz w:val="20"/>
        </w:rPr>
        <w:t>“Listening to classical music and the production of serotonin’ published as part of the conference proceedings of the 5</w:t>
      </w:r>
      <w:r w:rsidR="0006112B" w:rsidRPr="0006112B">
        <w:rPr>
          <w:rFonts w:ascii="Arial" w:hAnsi="Arial" w:cs="Arial"/>
          <w:i/>
          <w:sz w:val="20"/>
          <w:vertAlign w:val="superscript"/>
        </w:rPr>
        <w:t>th</w:t>
      </w:r>
      <w:r w:rsidR="0006112B">
        <w:rPr>
          <w:rFonts w:ascii="Arial" w:hAnsi="Arial" w:cs="Arial"/>
          <w:i/>
          <w:sz w:val="20"/>
        </w:rPr>
        <w:t xml:space="preserve"> International Conference in Biochemistry Research entitled “Biochemistry for the Future” pages 10-15. It was published by the Philippine Society of Biochemists, Quezon City.</w:t>
      </w:r>
    </w:p>
    <w:p w:rsidR="0006112B" w:rsidRDefault="0006112B" w:rsidP="00A6685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</w:p>
    <w:p w:rsidR="0006112B" w:rsidRDefault="0006112B" w:rsidP="0006112B">
      <w:pPr>
        <w:spacing w:after="0"/>
        <w:rPr>
          <w:rFonts w:ascii="Arial" w:hAnsi="Arial" w:cs="Arial"/>
          <w:color w:val="000000" w:themeColor="text1"/>
        </w:rPr>
      </w:pPr>
    </w:p>
    <w:p w:rsidR="0006112B" w:rsidRDefault="0006112B" w:rsidP="0006112B">
      <w:pPr>
        <w:spacing w:after="0"/>
        <w:rPr>
          <w:rFonts w:ascii="Arial" w:hAnsi="Arial" w:cs="Arial"/>
          <w:color w:val="000000" w:themeColor="text1"/>
        </w:rPr>
      </w:pPr>
      <w:r w:rsidRPr="0006112B">
        <w:rPr>
          <w:rFonts w:ascii="Arial" w:hAnsi="Arial" w:cs="Arial"/>
          <w:color w:val="000000" w:themeColor="text1"/>
        </w:rPr>
        <w:t>Many students feel most anxio</w:t>
      </w:r>
      <w:r>
        <w:rPr>
          <w:rFonts w:ascii="Arial" w:hAnsi="Arial" w:cs="Arial"/>
          <w:color w:val="000000" w:themeColor="text1"/>
        </w:rPr>
        <w:t>us in their mathematics subject</w:t>
      </w:r>
      <w:r w:rsidRPr="00A66855">
        <w:rPr>
          <w:rFonts w:ascii="Arial" w:hAnsi="Arial" w:cs="Arial"/>
          <w:color w:val="000000" w:themeColor="text1"/>
        </w:rPr>
        <w:t>.</w:t>
      </w:r>
    </w:p>
    <w:p w:rsidR="00591810" w:rsidRDefault="00591810" w:rsidP="0006112B">
      <w:pPr>
        <w:spacing w:after="0"/>
        <w:rPr>
          <w:rFonts w:ascii="Arial" w:hAnsi="Arial" w:cs="Arial"/>
          <w:color w:val="000000" w:themeColor="text1"/>
        </w:rPr>
      </w:pPr>
    </w:p>
    <w:p w:rsidR="0006112B" w:rsidRDefault="0006112B" w:rsidP="0006112B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Lifted from the book “Conquering the Fear of Math” by A.A. Collins published in 2012 by </w:t>
      </w:r>
      <w:proofErr w:type="spellStart"/>
      <w:r>
        <w:rPr>
          <w:rFonts w:ascii="Arial" w:hAnsi="Arial" w:cs="Arial"/>
          <w:i/>
          <w:sz w:val="20"/>
        </w:rPr>
        <w:t>Fearson</w:t>
      </w:r>
      <w:proofErr w:type="spellEnd"/>
      <w:r>
        <w:rPr>
          <w:rFonts w:ascii="Arial" w:hAnsi="Arial" w:cs="Arial"/>
          <w:i/>
          <w:sz w:val="20"/>
        </w:rPr>
        <w:t xml:space="preserve"> Publishing House, New York</w:t>
      </w:r>
    </w:p>
    <w:p w:rsidR="0006112B" w:rsidRDefault="0006112B" w:rsidP="0006112B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i/>
          <w:sz w:val="20"/>
        </w:rPr>
      </w:pPr>
    </w:p>
    <w:p w:rsidR="0006112B" w:rsidRPr="00EF123F" w:rsidRDefault="0006112B" w:rsidP="00A66855">
      <w:pPr>
        <w:spacing w:after="0"/>
        <w:jc w:val="right"/>
        <w:rPr>
          <w:rFonts w:ascii="Arial" w:hAnsi="Arial" w:cs="Arial"/>
          <w:sz w:val="24"/>
        </w:rPr>
      </w:pPr>
    </w:p>
    <w:sectPr w:rsidR="0006112B" w:rsidRPr="00EF123F" w:rsidSect="00035C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4941"/>
    <w:multiLevelType w:val="hybridMultilevel"/>
    <w:tmpl w:val="E95AE1E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07"/>
    <w:rsid w:val="00035C9F"/>
    <w:rsid w:val="0006112B"/>
    <w:rsid w:val="000F2433"/>
    <w:rsid w:val="00384707"/>
    <w:rsid w:val="004C498F"/>
    <w:rsid w:val="00591810"/>
    <w:rsid w:val="00A66855"/>
    <w:rsid w:val="00E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6597"/>
  <w15:chartTrackingRefBased/>
  <w15:docId w15:val="{A3B753E9-2E1D-4969-9DAC-982AEAAE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33"/>
    <w:pPr>
      <w:ind w:left="720"/>
      <w:contextualSpacing/>
    </w:pPr>
  </w:style>
  <w:style w:type="table" w:styleId="TableGrid">
    <w:name w:val="Table Grid"/>
    <w:basedOn w:val="TableNormal"/>
    <w:uiPriority w:val="59"/>
    <w:rsid w:val="00EF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ph/k-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8671-CD9E-48A6-BAA7-41F0278B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1</cp:revision>
  <dcterms:created xsi:type="dcterms:W3CDTF">2017-10-06T23:18:00Z</dcterms:created>
  <dcterms:modified xsi:type="dcterms:W3CDTF">2017-10-07T00:22:00Z</dcterms:modified>
</cp:coreProperties>
</file>